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F7" w:rsidRPr="00AA7664" w:rsidRDefault="006A592D" w:rsidP="006B15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7664">
        <w:rPr>
          <w:rFonts w:ascii="Times New Roman" w:hAnsi="Times New Roman" w:cs="Times New Roman"/>
          <w:b/>
          <w:sz w:val="28"/>
          <w:szCs w:val="28"/>
        </w:rPr>
        <w:t>О предоставлении документов, подтверждающих происхождение наличных денежных средств и (или) денежных инструментов</w:t>
      </w:r>
      <w:bookmarkEnd w:id="0"/>
    </w:p>
    <w:p w:rsidR="006A592D" w:rsidRPr="00AA7664" w:rsidRDefault="006A592D" w:rsidP="00AA76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592D" w:rsidRPr="00AA7664" w:rsidRDefault="006A592D" w:rsidP="00AA7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64">
        <w:rPr>
          <w:rFonts w:ascii="Times New Roman" w:hAnsi="Times New Roman" w:cs="Times New Roman"/>
          <w:sz w:val="28"/>
          <w:szCs w:val="28"/>
        </w:rPr>
        <w:t>С 4 февраля 2020 г. вступает в силу Решение Коллегии Евразийской экономической комиссии от 6 августа 2019 г. № 130 «О представлении документов для подтверждения происхождения наличных денежных средств и (или) денежных документов», которое предусматривает представление физическими лицами одновременно с пассажирской таможенной декларацией документов, подтверждающих происхождение наличных денежных средств и (или) денежных инструментов, при единовременном ввозе на таможенную территорию ЕАЭС или единовременном вывозе с таможенной территории ЕАЭС наличных денежных средств и (или) денежных инструментов в сумме, превышающей 100 тыс. долларов США одним лицом.</w:t>
      </w:r>
    </w:p>
    <w:p w:rsidR="006A592D" w:rsidRPr="00AA7664" w:rsidRDefault="006A592D" w:rsidP="00AA7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64">
        <w:rPr>
          <w:rFonts w:ascii="Times New Roman" w:hAnsi="Times New Roman" w:cs="Times New Roman"/>
          <w:sz w:val="28"/>
          <w:szCs w:val="28"/>
        </w:rPr>
        <w:t>Решение подготовлено в соответствии с подпунктом 9 пункта 1 статьи 261 Таможенного кодекса ЕАЭС</w:t>
      </w:r>
      <w:r w:rsidR="00F961FE" w:rsidRPr="00AA7664">
        <w:rPr>
          <w:rFonts w:ascii="Times New Roman" w:hAnsi="Times New Roman" w:cs="Times New Roman"/>
          <w:sz w:val="28"/>
          <w:szCs w:val="28"/>
        </w:rPr>
        <w:t xml:space="preserve"> и направлено на реализацию рекомендации 32 «Курьеры наличных» Группы разработки финансовых мер борьбы с отмыванием денег (ФАТФ).</w:t>
      </w:r>
    </w:p>
    <w:p w:rsidR="00F961FE" w:rsidRPr="00AA7664" w:rsidRDefault="00F961FE" w:rsidP="00AA7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64">
        <w:rPr>
          <w:rFonts w:ascii="Times New Roman" w:hAnsi="Times New Roman" w:cs="Times New Roman"/>
          <w:sz w:val="28"/>
          <w:szCs w:val="28"/>
        </w:rPr>
        <w:t>Данная рекомендация была разработана с целью обеспечения странами-участниками ФАТФ мер для выявления и остановки (задержания) физически перемещаемых через границу наличных денежных средств и оборотных инструментов на предъявителя, которые могут быть использованы для целей финансирования терроризма или легализации (отмывания) доходов, полученных преступным путем.</w:t>
      </w:r>
    </w:p>
    <w:p w:rsidR="00F961FE" w:rsidRPr="00AA7664" w:rsidRDefault="0020158E" w:rsidP="00AA7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64">
        <w:rPr>
          <w:rFonts w:ascii="Times New Roman" w:hAnsi="Times New Roman" w:cs="Times New Roman"/>
          <w:sz w:val="28"/>
          <w:szCs w:val="28"/>
        </w:rPr>
        <w:t>Представляемые документы должны подтверждать сведения о происхождении наличных денежных средств и (или) денежных инструментов, заявленные в пассажирской таможенной декларации, (например, документы, оформляемые кредитными организациями при совершении конверсионных операций, снятии денежных средств со счета, получении кредита и др., документы, подтверждающие совершение гражданско-правовых сделок (наследство, дарение и др.).</w:t>
      </w:r>
    </w:p>
    <w:p w:rsidR="0030745F" w:rsidRPr="00AA7664" w:rsidRDefault="0030745F" w:rsidP="00AA7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6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непредставления соответствующих документов перемещение через таможенную границу ЕАЭС наличных денежных средств и (или) денежных инструментов не допускается. </w:t>
      </w:r>
    </w:p>
    <w:sectPr w:rsidR="0030745F" w:rsidRPr="00AA7664" w:rsidSect="00AA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7A" w:rsidRDefault="00EE5C7A" w:rsidP="005561E0">
      <w:pPr>
        <w:spacing w:after="0" w:line="240" w:lineRule="auto"/>
      </w:pPr>
      <w:r>
        <w:separator/>
      </w:r>
    </w:p>
  </w:endnote>
  <w:endnote w:type="continuationSeparator" w:id="0">
    <w:p w:rsidR="00EE5C7A" w:rsidRDefault="00EE5C7A" w:rsidP="0055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7A" w:rsidRDefault="00EE5C7A" w:rsidP="005561E0">
      <w:pPr>
        <w:spacing w:after="0" w:line="240" w:lineRule="auto"/>
      </w:pPr>
      <w:r>
        <w:separator/>
      </w:r>
    </w:p>
  </w:footnote>
  <w:footnote w:type="continuationSeparator" w:id="0">
    <w:p w:rsidR="00EE5C7A" w:rsidRDefault="00EE5C7A" w:rsidP="00556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581"/>
    <w:multiLevelType w:val="multilevel"/>
    <w:tmpl w:val="4E4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41B0F"/>
    <w:multiLevelType w:val="multilevel"/>
    <w:tmpl w:val="9176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43369"/>
    <w:multiLevelType w:val="multilevel"/>
    <w:tmpl w:val="0B50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7524C"/>
    <w:multiLevelType w:val="multilevel"/>
    <w:tmpl w:val="C724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876EC"/>
    <w:multiLevelType w:val="multilevel"/>
    <w:tmpl w:val="FD8A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E0FDC"/>
    <w:multiLevelType w:val="multilevel"/>
    <w:tmpl w:val="2ABE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37C0D"/>
    <w:multiLevelType w:val="multilevel"/>
    <w:tmpl w:val="BC1C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570F0"/>
    <w:multiLevelType w:val="multilevel"/>
    <w:tmpl w:val="ED9E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04989"/>
    <w:multiLevelType w:val="multilevel"/>
    <w:tmpl w:val="9BE2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E6609"/>
    <w:multiLevelType w:val="multilevel"/>
    <w:tmpl w:val="7BD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AC550F"/>
    <w:multiLevelType w:val="multilevel"/>
    <w:tmpl w:val="C79A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DA6449"/>
    <w:multiLevelType w:val="multilevel"/>
    <w:tmpl w:val="2CBE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02566"/>
    <w:multiLevelType w:val="multilevel"/>
    <w:tmpl w:val="CDD8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F0F3D"/>
    <w:multiLevelType w:val="multilevel"/>
    <w:tmpl w:val="91C6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B967AE"/>
    <w:multiLevelType w:val="multilevel"/>
    <w:tmpl w:val="9694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E71C9F"/>
    <w:multiLevelType w:val="multilevel"/>
    <w:tmpl w:val="8AB0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FE1129"/>
    <w:multiLevelType w:val="multilevel"/>
    <w:tmpl w:val="1C6E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563219"/>
    <w:multiLevelType w:val="multilevel"/>
    <w:tmpl w:val="6188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0247B4"/>
    <w:multiLevelType w:val="multilevel"/>
    <w:tmpl w:val="2132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146D3E"/>
    <w:multiLevelType w:val="multilevel"/>
    <w:tmpl w:val="4D6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7"/>
  </w:num>
  <w:num w:numId="5">
    <w:abstractNumId w:val="12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19"/>
  </w:num>
  <w:num w:numId="13">
    <w:abstractNumId w:val="15"/>
  </w:num>
  <w:num w:numId="14">
    <w:abstractNumId w:val="14"/>
  </w:num>
  <w:num w:numId="15">
    <w:abstractNumId w:val="0"/>
  </w:num>
  <w:num w:numId="16">
    <w:abstractNumId w:val="16"/>
  </w:num>
  <w:num w:numId="17">
    <w:abstractNumId w:val="18"/>
  </w:num>
  <w:num w:numId="18">
    <w:abstractNumId w:val="1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CC"/>
    <w:rsid w:val="000000B2"/>
    <w:rsid w:val="00154146"/>
    <w:rsid w:val="001C6465"/>
    <w:rsid w:val="0020158E"/>
    <w:rsid w:val="002B5ACC"/>
    <w:rsid w:val="002E05FB"/>
    <w:rsid w:val="0030745F"/>
    <w:rsid w:val="004B5761"/>
    <w:rsid w:val="005561E0"/>
    <w:rsid w:val="0059394B"/>
    <w:rsid w:val="005A330A"/>
    <w:rsid w:val="0065568A"/>
    <w:rsid w:val="006A592D"/>
    <w:rsid w:val="006B157A"/>
    <w:rsid w:val="00730DC6"/>
    <w:rsid w:val="00757AF3"/>
    <w:rsid w:val="007C1838"/>
    <w:rsid w:val="009260F5"/>
    <w:rsid w:val="0095442F"/>
    <w:rsid w:val="00A70F18"/>
    <w:rsid w:val="00A91129"/>
    <w:rsid w:val="00AA7664"/>
    <w:rsid w:val="00BC11F7"/>
    <w:rsid w:val="00D15381"/>
    <w:rsid w:val="00D8423A"/>
    <w:rsid w:val="00EE5C7A"/>
    <w:rsid w:val="00F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1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6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0B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9112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9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61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s-value">
    <w:name w:val="stats-value"/>
    <w:basedOn w:val="a0"/>
    <w:rsid w:val="005561E0"/>
  </w:style>
  <w:style w:type="character" w:styleId="a7">
    <w:name w:val="Strong"/>
    <w:basedOn w:val="a0"/>
    <w:uiPriority w:val="22"/>
    <w:qFormat/>
    <w:rsid w:val="005561E0"/>
    <w:rPr>
      <w:b/>
      <w:bCs/>
    </w:rPr>
  </w:style>
  <w:style w:type="paragraph" w:customStyle="1" w:styleId="adme-img-copyright">
    <w:name w:val="adme-img-copyright"/>
    <w:basedOn w:val="a"/>
    <w:rsid w:val="0055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56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61E0"/>
  </w:style>
  <w:style w:type="paragraph" w:styleId="aa">
    <w:name w:val="footer"/>
    <w:basedOn w:val="a"/>
    <w:link w:val="ab"/>
    <w:uiPriority w:val="99"/>
    <w:unhideWhenUsed/>
    <w:rsid w:val="00556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61E0"/>
  </w:style>
  <w:style w:type="paragraph" w:styleId="ac">
    <w:name w:val="No Spacing"/>
    <w:link w:val="ad"/>
    <w:uiPriority w:val="1"/>
    <w:qFormat/>
    <w:rsid w:val="005561E0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5561E0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1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editsection">
    <w:name w:val="mw-editsection"/>
    <w:basedOn w:val="a0"/>
    <w:rsid w:val="005561E0"/>
  </w:style>
  <w:style w:type="character" w:customStyle="1" w:styleId="mw-editsection-bracket">
    <w:name w:val="mw-editsection-bracket"/>
    <w:basedOn w:val="a0"/>
    <w:rsid w:val="005561E0"/>
  </w:style>
  <w:style w:type="character" w:customStyle="1" w:styleId="mw-editsection-divider">
    <w:name w:val="mw-editsection-divider"/>
    <w:basedOn w:val="a0"/>
    <w:rsid w:val="005561E0"/>
  </w:style>
  <w:style w:type="character" w:customStyle="1" w:styleId="tocnumber">
    <w:name w:val="tocnumber"/>
    <w:basedOn w:val="a0"/>
    <w:rsid w:val="005561E0"/>
  </w:style>
  <w:style w:type="character" w:customStyle="1" w:styleId="toctext">
    <w:name w:val="toctext"/>
    <w:basedOn w:val="a0"/>
    <w:rsid w:val="005561E0"/>
  </w:style>
  <w:style w:type="character" w:customStyle="1" w:styleId="mw-headline">
    <w:name w:val="mw-headline"/>
    <w:basedOn w:val="a0"/>
    <w:rsid w:val="005561E0"/>
  </w:style>
  <w:style w:type="paragraph" w:customStyle="1" w:styleId="adme-img-description">
    <w:name w:val="adme-img-description"/>
    <w:basedOn w:val="a"/>
    <w:rsid w:val="0055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1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6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0B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9112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9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61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s-value">
    <w:name w:val="stats-value"/>
    <w:basedOn w:val="a0"/>
    <w:rsid w:val="005561E0"/>
  </w:style>
  <w:style w:type="character" w:styleId="a7">
    <w:name w:val="Strong"/>
    <w:basedOn w:val="a0"/>
    <w:uiPriority w:val="22"/>
    <w:qFormat/>
    <w:rsid w:val="005561E0"/>
    <w:rPr>
      <w:b/>
      <w:bCs/>
    </w:rPr>
  </w:style>
  <w:style w:type="paragraph" w:customStyle="1" w:styleId="adme-img-copyright">
    <w:name w:val="adme-img-copyright"/>
    <w:basedOn w:val="a"/>
    <w:rsid w:val="0055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56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61E0"/>
  </w:style>
  <w:style w:type="paragraph" w:styleId="aa">
    <w:name w:val="footer"/>
    <w:basedOn w:val="a"/>
    <w:link w:val="ab"/>
    <w:uiPriority w:val="99"/>
    <w:unhideWhenUsed/>
    <w:rsid w:val="00556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61E0"/>
  </w:style>
  <w:style w:type="paragraph" w:styleId="ac">
    <w:name w:val="No Spacing"/>
    <w:link w:val="ad"/>
    <w:uiPriority w:val="1"/>
    <w:qFormat/>
    <w:rsid w:val="005561E0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5561E0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1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editsection">
    <w:name w:val="mw-editsection"/>
    <w:basedOn w:val="a0"/>
    <w:rsid w:val="005561E0"/>
  </w:style>
  <w:style w:type="character" w:customStyle="1" w:styleId="mw-editsection-bracket">
    <w:name w:val="mw-editsection-bracket"/>
    <w:basedOn w:val="a0"/>
    <w:rsid w:val="005561E0"/>
  </w:style>
  <w:style w:type="character" w:customStyle="1" w:styleId="mw-editsection-divider">
    <w:name w:val="mw-editsection-divider"/>
    <w:basedOn w:val="a0"/>
    <w:rsid w:val="005561E0"/>
  </w:style>
  <w:style w:type="character" w:customStyle="1" w:styleId="tocnumber">
    <w:name w:val="tocnumber"/>
    <w:basedOn w:val="a0"/>
    <w:rsid w:val="005561E0"/>
  </w:style>
  <w:style w:type="character" w:customStyle="1" w:styleId="toctext">
    <w:name w:val="toctext"/>
    <w:basedOn w:val="a0"/>
    <w:rsid w:val="005561E0"/>
  </w:style>
  <w:style w:type="character" w:customStyle="1" w:styleId="mw-headline">
    <w:name w:val="mw-headline"/>
    <w:basedOn w:val="a0"/>
    <w:rsid w:val="005561E0"/>
  </w:style>
  <w:style w:type="paragraph" w:customStyle="1" w:styleId="adme-img-description">
    <w:name w:val="adme-img-description"/>
    <w:basedOn w:val="a"/>
    <w:rsid w:val="0055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4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639043152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20952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314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2904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5716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0423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997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0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  <w:div w:id="10796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</w:divsChild>
            </w:div>
          </w:divsChild>
        </w:div>
        <w:div w:id="69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095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20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475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44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376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5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  <w:div w:id="1345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</w:divsChild>
            </w:div>
          </w:divsChild>
        </w:div>
        <w:div w:id="272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  <w:div w:id="20599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</w:divsChild>
            </w:div>
          </w:divsChild>
        </w:div>
        <w:div w:id="19284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  <w:div w:id="932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</w:divsChild>
            </w:div>
          </w:divsChild>
        </w:div>
        <w:div w:id="2003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  <w:div w:id="1530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</w:divsChild>
            </w:div>
          </w:divsChild>
        </w:div>
        <w:div w:id="142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Репина Анна Николаевна</cp:lastModifiedBy>
  <cp:revision>2</cp:revision>
  <cp:lastPrinted>2019-03-28T06:12:00Z</cp:lastPrinted>
  <dcterms:created xsi:type="dcterms:W3CDTF">2020-01-31T11:55:00Z</dcterms:created>
  <dcterms:modified xsi:type="dcterms:W3CDTF">2020-01-31T11:55:00Z</dcterms:modified>
</cp:coreProperties>
</file>